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2E453FAB" w:rsidR="00B340AC" w:rsidRPr="00DC734B" w:rsidRDefault="0001615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Annual Licence Fee</w:t>
      </w:r>
      <w:r w:rsidR="004345CF" w:rsidRPr="004345CF">
        <w:rPr>
          <w:b/>
          <w:sz w:val="28"/>
          <w:szCs w:val="28"/>
          <w:u w:val="single"/>
        </w:rPr>
        <w:t xml:space="preserve"> </w:t>
      </w:r>
      <w:r w:rsidR="0066791C">
        <w:rPr>
          <w:b/>
          <w:sz w:val="28"/>
          <w:szCs w:val="28"/>
          <w:u w:val="single"/>
        </w:rPr>
        <w:t>(</w:t>
      </w:r>
      <w:r w:rsidR="00353B20">
        <w:rPr>
          <w:b/>
          <w:sz w:val="28"/>
          <w:szCs w:val="28"/>
          <w:u w:val="single"/>
        </w:rPr>
        <w:t>BWN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09E5087B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>This action definition describes the process for paying</w:t>
      </w:r>
      <w:r>
        <w:rPr>
          <w:sz w:val="24"/>
          <w:szCs w:val="24"/>
        </w:rPr>
        <w:t xml:space="preserve"> licence fees</w:t>
      </w:r>
      <w:r w:rsidR="00DD670F">
        <w:rPr>
          <w:sz w:val="24"/>
          <w:szCs w:val="24"/>
        </w:rPr>
        <w:t xml:space="preserve"> </w:t>
      </w:r>
      <w:r w:rsidR="00DC734B" w:rsidRPr="00DC734B">
        <w:rPr>
          <w:sz w:val="24"/>
          <w:szCs w:val="24"/>
        </w:rPr>
        <w:t xml:space="preserve">in </w:t>
      </w:r>
      <w:r w:rsidR="00353B20">
        <w:rPr>
          <w:sz w:val="24"/>
          <w:szCs w:val="24"/>
        </w:rPr>
        <w:t>BWN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34D49909" w:rsidR="00A6052B" w:rsidRPr="00DC734B" w:rsidRDefault="00016151" w:rsidP="00DC734B">
            <w:pPr>
              <w:rPr>
                <w:sz w:val="24"/>
                <w:szCs w:val="24"/>
              </w:rPr>
            </w:pPr>
            <w:r w:rsidRPr="00016151">
              <w:rPr>
                <w:sz w:val="24"/>
                <w:szCs w:val="24"/>
              </w:rPr>
              <w:t>Annual Licence Fee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F266AE" w:rsidRPr="00DC734B" w14:paraId="0EA1A5CD" w14:textId="77777777" w:rsidTr="00123FB7">
        <w:tc>
          <w:tcPr>
            <w:tcW w:w="3403" w:type="dxa"/>
          </w:tcPr>
          <w:p w14:paraId="3EFE1F01" w14:textId="77777777" w:rsidR="00F266AE" w:rsidRPr="00DC734B" w:rsidRDefault="00F266AE" w:rsidP="00F266AE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4C40B2B" w:rsidR="00F266AE" w:rsidRPr="00DC734B" w:rsidRDefault="00F266AE" w:rsidP="00F266A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F0D81">
              <w:t>Annually</w:t>
            </w:r>
          </w:p>
        </w:tc>
      </w:tr>
      <w:tr w:rsidR="00F266AE" w:rsidRPr="00DC734B" w14:paraId="26918257" w14:textId="77777777" w:rsidTr="0082309D">
        <w:tc>
          <w:tcPr>
            <w:tcW w:w="3403" w:type="dxa"/>
          </w:tcPr>
          <w:p w14:paraId="6A62621E" w14:textId="77777777" w:rsidR="00F266AE" w:rsidRPr="009B41F3" w:rsidRDefault="00F266AE" w:rsidP="00F266AE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603DE0AB" w:rsidR="00F266AE" w:rsidRPr="009B41F3" w:rsidRDefault="00F266AE" w:rsidP="00F266A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F0D81">
              <w:t xml:space="preserve">Anniversary 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4FE6F5EA" w:rsidR="00F266AE" w:rsidRPr="009B41F3" w:rsidRDefault="00F266AE" w:rsidP="00F266A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F0D81">
              <w:t>= {</w:t>
            </w:r>
            <w:r w:rsidR="00E27968">
              <w:t>commencement</w:t>
            </w:r>
            <w:r w:rsidRPr="00EF0D81">
              <w:t>Date} + {Interval}</w:t>
            </w:r>
          </w:p>
        </w:tc>
      </w:tr>
      <w:tr w:rsidR="00F266AE" w:rsidRPr="00DC734B" w14:paraId="0E6A6630" w14:textId="77777777" w:rsidTr="000E3EC1">
        <w:tc>
          <w:tcPr>
            <w:tcW w:w="3403" w:type="dxa"/>
          </w:tcPr>
          <w:p w14:paraId="3742028C" w14:textId="77777777" w:rsidR="00F266AE" w:rsidRPr="009B41F3" w:rsidRDefault="00F266AE" w:rsidP="00F266AE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33C680E4" w:rsidR="00F266AE" w:rsidRPr="009B41F3" w:rsidRDefault="00F266AE" w:rsidP="00F266A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F0D81">
              <w:t xml:space="preserve">Deadline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7FC26638" w:rsidR="00F266AE" w:rsidRPr="009B41F3" w:rsidRDefault="00F266AE" w:rsidP="00F266A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F0D81">
              <w:t>= {Critical Date}</w:t>
            </w:r>
            <w:r w:rsidR="00DC78B9">
              <w:t>-1day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40E8E70F" w:rsidR="005A6828" w:rsidRPr="009B41F3" w:rsidRDefault="00353B20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BWN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6A124294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5B30F4DB" w:rsidR="003B5787" w:rsidRPr="00DC734B" w:rsidRDefault="00016151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</w:t>
            </w:r>
            <w:r w:rsidRPr="00016151">
              <w:rPr>
                <w:sz w:val="24"/>
                <w:szCs w:val="24"/>
              </w:rPr>
              <w:t>Annual Licence Fee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1529F726" w:rsidR="003B5787" w:rsidRPr="00DC734B" w:rsidRDefault="00016151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79DA9148" w:rsidR="0087599F" w:rsidRPr="00BB5523" w:rsidRDefault="00016151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Receipt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0029D2C" w:rsidR="0087599F" w:rsidRPr="00BB5523" w:rsidRDefault="00016151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0d</w:t>
            </w: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3F871CC1" w14:textId="7D404ADB" w:rsidR="009B41F3" w:rsidRDefault="009B41F3" w:rsidP="00451608">
      <w:pPr>
        <w:tabs>
          <w:tab w:val="left" w:pos="1418"/>
          <w:tab w:val="left" w:pos="4111"/>
        </w:tabs>
        <w:spacing w:after="80"/>
        <w:ind w:left="-284" w:right="-449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45F2E5EE" w:rsidR="00AF149B" w:rsidRDefault="00B66C45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13D3CEB2" w:rsidR="00AF149B" w:rsidRDefault="00B66C45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7828E87F" w:rsidR="00AF149B" w:rsidRDefault="00B66C45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test examples</w:t>
            </w:r>
          </w:p>
        </w:tc>
      </w:tr>
      <w:tr w:rsidR="00B66C45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149C0327" w:rsidR="00B66C45" w:rsidRDefault="00B66C45" w:rsidP="00B66C4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40319F6C" w:rsidR="00B66C45" w:rsidRDefault="00B66C45" w:rsidP="00B66C4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ABDCB2D" w:rsidR="00B66C45" w:rsidRDefault="00B66C45" w:rsidP="00B66C4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B66C45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B66C45" w:rsidRDefault="00B66C45" w:rsidP="00B66C4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B66C45" w:rsidRDefault="00B66C45" w:rsidP="00B66C4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B66C45" w:rsidRDefault="00B66C45" w:rsidP="00B66C4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7092">
    <w:abstractNumId w:val="1"/>
  </w:num>
  <w:num w:numId="2" w16cid:durableId="67935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558ED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53B20"/>
    <w:rsid w:val="0036466A"/>
    <w:rsid w:val="003735B5"/>
    <w:rsid w:val="003A582E"/>
    <w:rsid w:val="003B116C"/>
    <w:rsid w:val="003B5787"/>
    <w:rsid w:val="003D0742"/>
    <w:rsid w:val="003F247C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5031B3"/>
    <w:rsid w:val="00596B28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B0CBA"/>
    <w:rsid w:val="006D72EF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90EB0"/>
    <w:rsid w:val="008D1D34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C5955"/>
    <w:rsid w:val="00AD717D"/>
    <w:rsid w:val="00AF149B"/>
    <w:rsid w:val="00B03757"/>
    <w:rsid w:val="00B27F47"/>
    <w:rsid w:val="00B340AC"/>
    <w:rsid w:val="00B4298D"/>
    <w:rsid w:val="00B54F4D"/>
    <w:rsid w:val="00B66C45"/>
    <w:rsid w:val="00B747CA"/>
    <w:rsid w:val="00BA4A91"/>
    <w:rsid w:val="00BB0CDB"/>
    <w:rsid w:val="00BB5523"/>
    <w:rsid w:val="00BB7B98"/>
    <w:rsid w:val="00BD6DE1"/>
    <w:rsid w:val="00BE0D8A"/>
    <w:rsid w:val="00C2710F"/>
    <w:rsid w:val="00C36FE1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C78B9"/>
    <w:rsid w:val="00DD670F"/>
    <w:rsid w:val="00DE7E6B"/>
    <w:rsid w:val="00DE7E85"/>
    <w:rsid w:val="00DF49B4"/>
    <w:rsid w:val="00E06D41"/>
    <w:rsid w:val="00E26132"/>
    <w:rsid w:val="00E27968"/>
    <w:rsid w:val="00E37ECC"/>
    <w:rsid w:val="00EA1A06"/>
    <w:rsid w:val="00EA1D77"/>
    <w:rsid w:val="00ED7FB1"/>
    <w:rsid w:val="00F03F4C"/>
    <w:rsid w:val="00F05A31"/>
    <w:rsid w:val="00F06DC1"/>
    <w:rsid w:val="00F266AE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28396-9617-4E48-A28B-D227C604C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A854D-F88F-4EE6-AFAE-9BB89987B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7F2998-9469-478F-BA31-8919CFBD9D6D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2024-10-10T07:00:00Z</dcterms:created>
  <dcterms:modified xsi:type="dcterms:W3CDTF">2024-10-10T07:01:00Z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